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95C6" w14:textId="438E3AB3" w:rsidR="003D4B65" w:rsidRPr="00950E7E" w:rsidRDefault="003D4B65" w:rsidP="0095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tr-TR"/>
        </w:rPr>
      </w:pPr>
      <w:r w:rsidRPr="003D4B65">
        <w:rPr>
          <w:rFonts w:eastAsia="Times New Roman" w:cstheme="minorHAnsi"/>
          <w:b/>
          <w:color w:val="222222"/>
          <w:sz w:val="24"/>
          <w:szCs w:val="24"/>
          <w:lang w:eastAsia="tr-TR"/>
        </w:rPr>
        <w:t>COVID-19'a neden olan virüs bulaşma yolları: Enfeksiyon kontrol önlemleri için</w:t>
      </w:r>
      <w:r w:rsidRPr="00950E7E">
        <w:rPr>
          <w:rFonts w:eastAsia="Times New Roman" w:cstheme="minorHAnsi"/>
          <w:b/>
          <w:color w:val="222222"/>
          <w:sz w:val="24"/>
          <w:szCs w:val="24"/>
          <w:lang w:eastAsia="tr-TR"/>
        </w:rPr>
        <w:t xml:space="preserve"> D</w:t>
      </w:r>
      <w:r w:rsidR="000C6B8B" w:rsidRPr="00950E7E">
        <w:rPr>
          <w:rFonts w:eastAsia="Times New Roman" w:cstheme="minorHAnsi"/>
          <w:b/>
          <w:color w:val="222222"/>
          <w:sz w:val="24"/>
          <w:szCs w:val="24"/>
          <w:lang w:eastAsia="tr-TR"/>
        </w:rPr>
        <w:t>ünya Sağlık Örgütü</w:t>
      </w:r>
      <w:r w:rsidRPr="003D4B65">
        <w:rPr>
          <w:rFonts w:eastAsia="Times New Roman" w:cstheme="minorHAnsi"/>
          <w:b/>
          <w:color w:val="222222"/>
          <w:sz w:val="24"/>
          <w:szCs w:val="24"/>
          <w:lang w:eastAsia="tr-TR"/>
        </w:rPr>
        <w:t xml:space="preserve"> öneriler</w:t>
      </w:r>
      <w:r w:rsidRPr="00950E7E">
        <w:rPr>
          <w:rFonts w:eastAsia="Times New Roman" w:cstheme="minorHAnsi"/>
          <w:b/>
          <w:color w:val="222222"/>
          <w:sz w:val="24"/>
          <w:szCs w:val="24"/>
          <w:lang w:eastAsia="tr-TR"/>
        </w:rPr>
        <w:t>i</w:t>
      </w:r>
    </w:p>
    <w:p w14:paraId="27942607" w14:textId="7983986E" w:rsidR="003D4B65" w:rsidRPr="00950E7E" w:rsidRDefault="003D4B65" w:rsidP="0095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487BB583" w14:textId="05E86727" w:rsidR="003D4B65" w:rsidRPr="00950E7E" w:rsidRDefault="003D4B65" w:rsidP="0095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50E7E">
        <w:rPr>
          <w:rFonts w:eastAsia="Times New Roman" w:cstheme="minorHAnsi"/>
          <w:i/>
          <w:color w:val="222222"/>
          <w:sz w:val="24"/>
          <w:szCs w:val="24"/>
          <w:lang w:eastAsia="tr-TR"/>
        </w:rPr>
        <w:t>Bilimsel özet</w:t>
      </w:r>
      <w:r w:rsidRPr="00950E7E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– 27 Mart 2020</w:t>
      </w:r>
    </w:p>
    <w:p w14:paraId="3FCA0242" w14:textId="43C57591" w:rsidR="00435FCA" w:rsidRPr="00950E7E" w:rsidRDefault="00435FCA" w:rsidP="0095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14:paraId="3D0DF9EE" w14:textId="52CACDFD" w:rsidR="00435FCA" w:rsidRPr="00950E7E" w:rsidRDefault="00435FC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>Mevcut kanıtlara göre, COVID-19 virüsü insanlar arasında solunum damlacıkları ve temas yoluyla bulaşmaktadır.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1-6</w:t>
      </w:r>
    </w:p>
    <w:p w14:paraId="5C39FF85" w14:textId="77777777" w:rsidR="00435FCA" w:rsidRPr="00950E7E" w:rsidRDefault="00435FC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380C65E9" w14:textId="3B28B3A9" w:rsidR="00435FCA" w:rsidRPr="00950E7E" w:rsidRDefault="00435FC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Damlacık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bulaşı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öksürme veya hapşırma gibi solunum semptomları olan hasta biriyle yakın temas halinde (1 m içinde) oluşur. Ağız ve burun mukozası veya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konjonktiva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yoluyla potansiyel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enfektif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solunum damlacıklarına (genellikle çapı&gt; 5-10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μm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olarak kabul edilir) maruz kalan kişiler risk altındadır. Damlacık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bula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>ş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ı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enfekte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olmuş kişinin etrafında yakın ortamdaki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fomitler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yoluyla da meydana gelebilir.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7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Yani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COVID-19 virüsünün bulaşması,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enfekte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kişilerle doğrudan temas 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veya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yakın çevredeki yüzeylerle 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ve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enfekte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olmuş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nesnelerle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proofErr w:type="spellStart"/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>örn</w:t>
      </w:r>
      <w:proofErr w:type="spellEnd"/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. stetoskop veya termometre)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dolaylı temas yoluyla gerçekleşebilir</w:t>
      </w:r>
      <w:r w:rsidR="00402F46" w:rsidRPr="00950E7E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4EAE7841" w14:textId="77777777" w:rsidR="00435FCA" w:rsidRPr="00950E7E" w:rsidRDefault="00435FC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4D6CC318" w14:textId="7AFD1A1B" w:rsidR="00402F46" w:rsidRPr="00950E7E" w:rsidRDefault="00402F46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>Hava yoluyla bulaş (“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airborne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”), genellikle 5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μm</w:t>
      </w:r>
      <w:r w:rsidR="006E2DEF" w:rsidRPr="00950E7E">
        <w:rPr>
          <w:rFonts w:asciiTheme="minorHAnsi" w:hAnsiTheme="minorHAnsi" w:cstheme="minorHAnsi"/>
          <w:color w:val="222222"/>
          <w:sz w:val="24"/>
          <w:szCs w:val="24"/>
        </w:rPr>
        <w:t>’den</w:t>
      </w:r>
      <w:proofErr w:type="spellEnd"/>
      <w:r w:rsidR="006E2DEF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küçük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çap</w:t>
      </w:r>
      <w:r w:rsidR="006E2DEF" w:rsidRPr="00950E7E">
        <w:rPr>
          <w:rFonts w:asciiTheme="minorHAnsi" w:hAnsiTheme="minorHAnsi" w:cstheme="minorHAnsi"/>
          <w:color w:val="222222"/>
          <w:sz w:val="24"/>
          <w:szCs w:val="24"/>
        </w:rPr>
        <w:t>ta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parçacıklar olarak kabul edilen ve daha büyük damlacıkların buharlaşmasından veya toz parçacıkları</w:t>
      </w:r>
      <w:r w:rsidR="00673351">
        <w:rPr>
          <w:rFonts w:asciiTheme="minorHAnsi" w:hAnsiTheme="minorHAnsi" w:cstheme="minorHAnsi"/>
          <w:color w:val="222222"/>
          <w:sz w:val="24"/>
          <w:szCs w:val="24"/>
        </w:rPr>
        <w:t>nın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içinde mevcut olan damlacık çekirdekleri içindeki mikropların varlığın</w:t>
      </w:r>
      <w:r w:rsidR="006E2DEF" w:rsidRPr="00950E7E">
        <w:rPr>
          <w:rFonts w:asciiTheme="minorHAnsi" w:hAnsiTheme="minorHAnsi" w:cstheme="minorHAnsi"/>
          <w:color w:val="222222"/>
          <w:sz w:val="24"/>
          <w:szCs w:val="24"/>
        </w:rPr>
        <w:t>ı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6E2DEF" w:rsidRPr="00950E7E">
        <w:rPr>
          <w:rFonts w:asciiTheme="minorHAnsi" w:hAnsiTheme="minorHAnsi" w:cstheme="minorHAnsi"/>
          <w:color w:val="222222"/>
          <w:sz w:val="24"/>
          <w:szCs w:val="24"/>
        </w:rPr>
        <w:t>ifade ettiğinden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damlacık (“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droplet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”)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bulaşından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farklıdır. Uzun süre havada kalabilirler ve 1 metreden daha uzun mesafelerde başkalarına bulaşabilirler.</w:t>
      </w:r>
    </w:p>
    <w:p w14:paraId="19500253" w14:textId="2D75F3A9" w:rsidR="006E2DEF" w:rsidRPr="00950E7E" w:rsidRDefault="006E2DEF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6B00B823" w14:textId="3675C6A4" w:rsidR="006E2DEF" w:rsidRPr="00950E7E" w:rsidRDefault="006E2DEF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  <w:vertAlign w:val="superscript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COVID-19 bağlamında,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aerosol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üreten prosedürlerin gerçekleştirildiği özel durumlarda</w:t>
      </w:r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hava yoluyla bulaş mümkün olabilir (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örn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>.</w:t>
      </w:r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>e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ndotrakeal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entübasyon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bronkoskopi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açık </w:t>
      </w:r>
      <w:r w:rsidR="00B737AA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sistem </w:t>
      </w:r>
      <w:proofErr w:type="spellStart"/>
      <w:r w:rsidR="00B737AA" w:rsidRPr="00950E7E">
        <w:rPr>
          <w:rFonts w:asciiTheme="minorHAnsi" w:hAnsiTheme="minorHAnsi" w:cstheme="minorHAnsi"/>
          <w:color w:val="222222"/>
          <w:sz w:val="24"/>
          <w:szCs w:val="24"/>
        </w:rPr>
        <w:t>aspirasyon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nebülize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tedavi uygulaması,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entübasyon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önce</w:t>
      </w:r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>si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manuel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ventilasyon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hastayı </w:t>
      </w:r>
      <w:proofErr w:type="spellStart"/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>pron</w:t>
      </w:r>
      <w:proofErr w:type="spellEnd"/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yüzüstü</w:t>
      </w:r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>)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pozisyon</w:t>
      </w:r>
      <w:r w:rsidR="00774F5B" w:rsidRPr="00950E7E">
        <w:rPr>
          <w:rFonts w:asciiTheme="minorHAnsi" w:hAnsiTheme="minorHAnsi" w:cstheme="minorHAnsi"/>
          <w:color w:val="222222"/>
          <w:sz w:val="24"/>
          <w:szCs w:val="24"/>
        </w:rPr>
        <w:t>a döndürme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hastanın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ventilatörden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ayrılması,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noninvaziv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pozitif basınçlı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ventilasyon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trakeostomi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ve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kardiyopulmoner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resüsitasyon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>). Çin'deki 75.465 COVID-19 vakasının analizinde, hava yoluyla bulaş rapor edilmemiştir.</w:t>
      </w:r>
      <w:r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6</w:t>
      </w:r>
    </w:p>
    <w:p w14:paraId="5F524ADB" w14:textId="730EA61F" w:rsidR="00B737AA" w:rsidRPr="00950E7E" w:rsidRDefault="00B737A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480B9990" w14:textId="610260EA" w:rsidR="00B737AA" w:rsidRPr="00950E7E" w:rsidRDefault="00B737A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COVID-19 enfeksiyonunun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gastrointestinal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enfeksiyona yol açabileceğine ve dışkıda mevcut olabileceğine dair bazı kanıtlar vardır. Bununla birlikte, bugüne kadar sadece bir çalışma dışkı örneğinden COVID-19 virüsünü kültürle üretmiştir.</w:t>
      </w:r>
      <w:r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8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COVID-19 virüsünün bugüne kadar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fekal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>-oral yolla bulaştığı bildirilmemiştir.</w:t>
      </w:r>
    </w:p>
    <w:p w14:paraId="000EF30C" w14:textId="77777777" w:rsidR="00B737AA" w:rsidRPr="00950E7E" w:rsidRDefault="00B737A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588EBCA5" w14:textId="1DAEB784" w:rsidR="00B737AA" w:rsidRPr="00950E7E" w:rsidRDefault="00B737AA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>Bazı bilimsel yayınlar COVID-19 virüsünün havada tespit edilip edilemeyeceğine</w:t>
      </w:r>
      <w:r w:rsidR="0082516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ve potansiyel hava yolu bulaşına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dair ilk kanıtlar</w:t>
      </w:r>
      <w:r w:rsidR="00825166" w:rsidRPr="00950E7E">
        <w:rPr>
          <w:rFonts w:asciiTheme="minorHAnsi" w:hAnsiTheme="minorHAnsi" w:cstheme="minorHAnsi"/>
          <w:color w:val="222222"/>
          <w:sz w:val="24"/>
          <w:szCs w:val="24"/>
        </w:rPr>
        <w:t>ı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sunmaktadır</w:t>
      </w:r>
      <w:r w:rsidR="0082516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.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Bu ilk bulguların dikkatle yorumlanması gerek</w:t>
      </w:r>
      <w:r w:rsidR="00825166" w:rsidRPr="00950E7E">
        <w:rPr>
          <w:rFonts w:asciiTheme="minorHAnsi" w:hAnsiTheme="minorHAnsi" w:cstheme="minorHAnsi"/>
          <w:color w:val="222222"/>
          <w:sz w:val="24"/>
          <w:szCs w:val="24"/>
        </w:rPr>
        <w:t>mekted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ir.</w:t>
      </w:r>
    </w:p>
    <w:p w14:paraId="52C2F3CE" w14:textId="1C101029" w:rsidR="00825166" w:rsidRPr="00950E7E" w:rsidRDefault="00825166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75CF9CBC" w14:textId="07B40443" w:rsidR="00825166" w:rsidRPr="00950E7E" w:rsidRDefault="00825166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i/>
          <w:color w:val="222222"/>
          <w:sz w:val="24"/>
          <w:szCs w:val="24"/>
        </w:rPr>
        <w:t xml:space="preserve">New </w:t>
      </w:r>
      <w:proofErr w:type="spellStart"/>
      <w:r w:rsidRPr="00950E7E">
        <w:rPr>
          <w:rFonts w:asciiTheme="minorHAnsi" w:hAnsiTheme="minorHAnsi" w:cstheme="minorHAnsi"/>
          <w:i/>
          <w:color w:val="222222"/>
          <w:sz w:val="24"/>
          <w:szCs w:val="24"/>
        </w:rPr>
        <w:t>England</w:t>
      </w:r>
      <w:proofErr w:type="spellEnd"/>
      <w:r w:rsidRPr="00950E7E">
        <w:rPr>
          <w:rFonts w:asciiTheme="minorHAnsi" w:hAnsiTheme="minorHAnsi" w:cstheme="minorHAnsi"/>
          <w:i/>
          <w:color w:val="222222"/>
          <w:sz w:val="24"/>
          <w:szCs w:val="24"/>
        </w:rPr>
        <w:t xml:space="preserve"> </w:t>
      </w:r>
      <w:proofErr w:type="spellStart"/>
      <w:r w:rsidRPr="00950E7E">
        <w:rPr>
          <w:rFonts w:asciiTheme="minorHAnsi" w:hAnsiTheme="minorHAnsi" w:cstheme="minorHAnsi"/>
          <w:i/>
          <w:color w:val="222222"/>
          <w:sz w:val="24"/>
          <w:szCs w:val="24"/>
        </w:rPr>
        <w:t>Journal</w:t>
      </w:r>
      <w:proofErr w:type="spellEnd"/>
      <w:r w:rsidRPr="00950E7E">
        <w:rPr>
          <w:rFonts w:asciiTheme="minorHAnsi" w:hAnsiTheme="minorHAnsi" w:cstheme="minorHAnsi"/>
          <w:i/>
          <w:color w:val="222222"/>
          <w:sz w:val="24"/>
          <w:szCs w:val="24"/>
        </w:rPr>
        <w:t xml:space="preserve"> of </w:t>
      </w:r>
      <w:proofErr w:type="spellStart"/>
      <w:r w:rsidRPr="00950E7E">
        <w:rPr>
          <w:rFonts w:asciiTheme="minorHAnsi" w:hAnsiTheme="minorHAnsi" w:cstheme="minorHAnsi"/>
          <w:i/>
          <w:color w:val="222222"/>
          <w:sz w:val="24"/>
          <w:szCs w:val="24"/>
        </w:rPr>
        <w:t>Medicine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'de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yakın zamanda yayımlanan bir yayın COVID-19 virüsünün kalıcılığını değerlendirmiştir.</w:t>
      </w:r>
      <w:r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9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gram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Bu</w:t>
      </w:r>
      <w:proofErr w:type="gramEnd"/>
      <w:r w:rsidR="00C578F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deneysel çalışmada,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aerosoller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üç jetli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Collison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nebülizörü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kullanılarak oluşturulmuş ve kontrollü laboratuvar koşulları altında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Goldberg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tamburu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>yla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B561AE" w:rsidRPr="00950E7E">
        <w:rPr>
          <w:rFonts w:asciiTheme="minorHAnsi" w:hAnsiTheme="minorHAnsi" w:cstheme="minorHAnsi"/>
          <w:color w:val="222222"/>
          <w:sz w:val="24"/>
          <w:szCs w:val="24"/>
        </w:rPr>
        <w:t>test edil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miştir. Bu, normal insan öksür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üğü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koşullarını yansıtmayan yüksek güç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>te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bir makinedir. Ayrıca, 3 saate kadar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aerosol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partiküllerinde COVID-19 virüsünün bulunması,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aerosol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üre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>ten tıbbi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prosedürlerin uygulandığı klinik bir ortamı yansıtmaz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>. Y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ani bu</w:t>
      </w:r>
      <w:r w:rsidR="00BC714B">
        <w:rPr>
          <w:rFonts w:asciiTheme="minorHAnsi" w:hAnsiTheme="minorHAnsi" w:cstheme="minorHAnsi"/>
          <w:color w:val="222222"/>
          <w:sz w:val="24"/>
          <w:szCs w:val="24"/>
        </w:rPr>
        <w:t>,</w:t>
      </w:r>
      <w:bookmarkStart w:id="0" w:name="_GoBack"/>
      <w:bookmarkEnd w:id="0"/>
      <w:r w:rsidR="00BB6482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proofErr w:type="spellStart"/>
      <w:r w:rsidR="007637E2" w:rsidRPr="00950E7E">
        <w:rPr>
          <w:rFonts w:asciiTheme="minorHAnsi" w:hAnsiTheme="minorHAnsi" w:cstheme="minorHAnsi"/>
          <w:color w:val="222222"/>
          <w:sz w:val="24"/>
          <w:szCs w:val="24"/>
        </w:rPr>
        <w:t>aerosol</w:t>
      </w:r>
      <w:proofErr w:type="spellEnd"/>
      <w:r w:rsidR="007637E2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üretimi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deneysel olarak indüklen</w:t>
      </w:r>
      <w:r w:rsidR="0048035F" w:rsidRPr="00950E7E">
        <w:rPr>
          <w:rFonts w:asciiTheme="minorHAnsi" w:hAnsiTheme="minorHAnsi" w:cstheme="minorHAnsi"/>
          <w:color w:val="222222"/>
          <w:sz w:val="24"/>
          <w:szCs w:val="24"/>
        </w:rPr>
        <w:t>miş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bir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prosedürdü</w:t>
      </w:r>
      <w:r w:rsidR="00D4776E" w:rsidRPr="00950E7E">
        <w:rPr>
          <w:rFonts w:asciiTheme="minorHAnsi" w:hAnsiTheme="minorHAnsi" w:cstheme="minorHAnsi"/>
          <w:color w:val="222222"/>
          <w:sz w:val="24"/>
          <w:szCs w:val="24"/>
        </w:rPr>
        <w:t>r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38BCDD25" w14:textId="77777777" w:rsidR="00825166" w:rsidRPr="00950E7E" w:rsidRDefault="00825166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407CB03B" w14:textId="02EA059A" w:rsidR="00825166" w:rsidRPr="00950E7E" w:rsidRDefault="00825166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lastRenderedPageBreak/>
        <w:t>Semptomatik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COVID-19 hastalarının kabul edildiği</w:t>
      </w:r>
      <w:r w:rsidR="007637E2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ortamdan alınan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hava örneklerinde COVID-19 RNA'sının tespit edilmediği</w:t>
      </w:r>
      <w:r w:rsidR="007637E2" w:rsidRPr="00950E7E">
        <w:rPr>
          <w:rFonts w:asciiTheme="minorHAnsi" w:hAnsiTheme="minorHAnsi" w:cstheme="minorHAnsi"/>
          <w:color w:val="222222"/>
          <w:sz w:val="24"/>
          <w:szCs w:val="24"/>
        </w:rPr>
        <w:t>ne dair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raporlar vardır.</w:t>
      </w:r>
      <w:r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10-11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Ek olarak,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PCR'ye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dayalı çevresel örneklerde </w:t>
      </w:r>
      <w:proofErr w:type="spellStart"/>
      <w:r w:rsidR="007637E2" w:rsidRPr="00950E7E">
        <w:rPr>
          <w:rFonts w:asciiTheme="minorHAnsi" w:hAnsiTheme="minorHAnsi" w:cstheme="minorHAnsi"/>
          <w:color w:val="222222"/>
          <w:sz w:val="24"/>
          <w:szCs w:val="24"/>
        </w:rPr>
        <w:t>viral</w:t>
      </w:r>
      <w:proofErr w:type="spellEnd"/>
      <w:r w:rsidR="007637E2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RNA tespitinin</w:t>
      </w:r>
      <w:r w:rsidR="000C6B8B" w:rsidRPr="00950E7E">
        <w:rPr>
          <w:rFonts w:asciiTheme="minorHAnsi" w:hAnsiTheme="minorHAnsi" w:cstheme="minorHAnsi"/>
          <w:color w:val="222222"/>
          <w:sz w:val="24"/>
          <w:szCs w:val="24"/>
        </w:rPr>
        <w:t>,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bulaşıcı </w:t>
      </w:r>
      <w:r w:rsidR="00051E46" w:rsidRPr="00950E7E">
        <w:rPr>
          <w:rFonts w:asciiTheme="minorHAnsi" w:hAnsiTheme="minorHAnsi" w:cstheme="minorHAnsi"/>
          <w:color w:val="222222"/>
          <w:sz w:val="24"/>
          <w:szCs w:val="24"/>
        </w:rPr>
        <w:t>özellikte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canlı virüs</w:t>
      </w:r>
      <w:r w:rsidR="00051E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varlığının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göstergesi </w:t>
      </w:r>
      <w:r w:rsidR="00051E46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olmadığı da </w:t>
      </w:r>
      <w:r w:rsidR="000C6B8B" w:rsidRPr="00950E7E">
        <w:rPr>
          <w:rFonts w:asciiTheme="minorHAnsi" w:hAnsiTheme="minorHAnsi" w:cstheme="minorHAnsi"/>
          <w:color w:val="222222"/>
          <w:sz w:val="24"/>
          <w:szCs w:val="24"/>
        </w:rPr>
        <w:t>göz önünde bulundurulmalıdır.</w:t>
      </w:r>
    </w:p>
    <w:p w14:paraId="66E58FA7" w14:textId="0FC4E80B" w:rsidR="000C6B8B" w:rsidRPr="00950E7E" w:rsidRDefault="000C6B8B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6604296B" w14:textId="5F9E3A9C" w:rsidR="000C6B8B" w:rsidRPr="00950E7E" w:rsidRDefault="000C6B8B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  <w:vertAlign w:val="superscript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Sonuç olarak; belirtilen son yayınlar da dahil olmak üzere mevcut kanıtlara dayanarak, DSÖ COVID-19 hastalarına bakım veren kişiler için damlacık ve temas önlemleri, </w:t>
      </w:r>
      <w:proofErr w:type="spellStart"/>
      <w:r w:rsidRPr="00950E7E">
        <w:rPr>
          <w:rFonts w:asciiTheme="minorHAnsi" w:hAnsiTheme="minorHAnsi" w:cstheme="minorHAnsi"/>
          <w:color w:val="222222"/>
          <w:sz w:val="24"/>
          <w:szCs w:val="24"/>
        </w:rPr>
        <w:t>aerosol</w:t>
      </w:r>
      <w:proofErr w:type="spellEnd"/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üreten prosedür uygulamalarının yapıldığı ortamlar için temas ve hava yoluyla bulaş önlemleri önermeye devam etmektedir.</w:t>
      </w:r>
      <w:r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12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Bu öneriler Avrupa Yoğun Bakım Derneği (ESICM) ve </w:t>
      </w:r>
      <w:r w:rsidR="00097C0B" w:rsidRPr="00950E7E">
        <w:rPr>
          <w:rFonts w:asciiTheme="minorHAnsi" w:hAnsiTheme="minorHAnsi" w:cstheme="minorHAnsi"/>
          <w:color w:val="222222"/>
          <w:sz w:val="24"/>
          <w:szCs w:val="24"/>
        </w:rPr>
        <w:t>Kritik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Bakım Derneği</w:t>
      </w:r>
      <w:r w:rsidR="00097C0B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(SCCM)</w:t>
      </w:r>
      <w:r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13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tarafından geliştirilen ve şu anda Avustralya, Kanada ve İngiltere'de kullanılanlar da dahil olmak üzere diğer ulusal ve uluslararası yönergelere </w:t>
      </w:r>
      <w:r w:rsidR="00097C0B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de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uygundur.</w:t>
      </w:r>
      <w:r w:rsidR="00097C0B"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14-16</w:t>
      </w:r>
    </w:p>
    <w:p w14:paraId="48AC64BA" w14:textId="1C8A7A70" w:rsidR="00097C0B" w:rsidRPr="00950E7E" w:rsidRDefault="00097C0B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  <w:vertAlign w:val="superscript"/>
        </w:rPr>
      </w:pPr>
      <w:r w:rsidRPr="00950E7E">
        <w:rPr>
          <w:rFonts w:asciiTheme="minorHAnsi" w:hAnsiTheme="minorHAnsi" w:cstheme="minorHAnsi"/>
          <w:sz w:val="24"/>
          <w:szCs w:val="24"/>
        </w:rPr>
        <w:br/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Aynı zamanda, ABD Hastalık Kontrol ve Önleme Merkez</w:t>
      </w:r>
      <w:r w:rsidR="001346CE" w:rsidRPr="00950E7E">
        <w:rPr>
          <w:rFonts w:asciiTheme="minorHAnsi" w:hAnsiTheme="minorHAnsi" w:cstheme="minorHAnsi"/>
          <w:color w:val="222222"/>
          <w:sz w:val="24"/>
          <w:szCs w:val="24"/>
        </w:rPr>
        <w:t>i (CDC)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ve Avrupa Hastalık Önleme ve Kontrol Merkezi</w:t>
      </w:r>
      <w:r w:rsidR="00FE684A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1346CE" w:rsidRPr="00950E7E">
        <w:rPr>
          <w:rFonts w:asciiTheme="minorHAnsi" w:hAnsiTheme="minorHAnsi" w:cstheme="minorHAnsi"/>
          <w:color w:val="222222"/>
          <w:sz w:val="24"/>
          <w:szCs w:val="24"/>
        </w:rPr>
        <w:t>(ECDC)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de dahil olmak üzere diğer ülke ve kuruluşlar, COVID-19 hastalarının bakımını içeren herhangi bir durum için hava yoluyla</w:t>
      </w:r>
      <w:r w:rsidR="001346CE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bulaş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önlemler</w:t>
      </w:r>
      <w:r w:rsidR="001346CE" w:rsidRPr="00950E7E">
        <w:rPr>
          <w:rFonts w:asciiTheme="minorHAnsi" w:hAnsiTheme="minorHAnsi" w:cstheme="minorHAnsi"/>
          <w:color w:val="222222"/>
          <w:sz w:val="24"/>
          <w:szCs w:val="24"/>
        </w:rPr>
        <w:t>ini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önermekte </w:t>
      </w:r>
      <w:r w:rsidR="00EB54E7" w:rsidRPr="00950E7E">
        <w:rPr>
          <w:rFonts w:asciiTheme="minorHAnsi" w:hAnsiTheme="minorHAnsi" w:cstheme="minorHAnsi"/>
          <w:color w:val="222222"/>
          <w:sz w:val="24"/>
          <w:szCs w:val="24"/>
        </w:rPr>
        <w:t>fakat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N95, FFP2 veya FFP3</w:t>
      </w:r>
      <w:r w:rsidR="00680550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maske</w:t>
      </w:r>
      <w:r w:rsidR="00EB54E7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lerin kısıtlı sayıda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olması durumunda</w:t>
      </w:r>
      <w:r w:rsidR="00EB54E7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tıbbi maskeleri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kabul edilebilir bir seçenek olarak </w:t>
      </w:r>
      <w:r w:rsidR="00EB54E7" w:rsidRPr="00950E7E">
        <w:rPr>
          <w:rFonts w:asciiTheme="minorHAnsi" w:hAnsiTheme="minorHAnsi" w:cstheme="minorHAnsi"/>
          <w:color w:val="222222"/>
          <w:sz w:val="24"/>
          <w:szCs w:val="24"/>
        </w:rPr>
        <w:t>belirtmektedir.</w:t>
      </w:r>
      <w:r w:rsidR="00EB54E7" w:rsidRPr="00950E7E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 xml:space="preserve"> 17-18</w:t>
      </w:r>
      <w:r w:rsidR="00EB54E7" w:rsidRPr="00950E7E">
        <w:rPr>
          <w:rFonts w:asciiTheme="minorHAnsi" w:hAnsiTheme="minorHAnsi" w:cstheme="minorHAnsi"/>
          <w:color w:val="3C4245"/>
          <w:sz w:val="24"/>
          <w:szCs w:val="24"/>
        </w:rPr>
        <w:t xml:space="preserve"> </w:t>
      </w:r>
    </w:p>
    <w:p w14:paraId="18A10F96" w14:textId="77777777" w:rsidR="00097C0B" w:rsidRPr="00950E7E" w:rsidRDefault="00097C0B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75DFA310" w14:textId="27F009F0" w:rsidR="00097C0B" w:rsidRPr="00950E7E" w:rsidRDefault="00097C0B" w:rsidP="00950E7E">
      <w:pPr>
        <w:pStyle w:val="HTMLncedenBiimlendirilmi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Mevcut DSÖ önerileri, </w:t>
      </w:r>
      <w:r w:rsidR="00972880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sadece maskelerin değil,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tüm </w:t>
      </w:r>
      <w:r w:rsidR="00EB54E7" w:rsidRPr="00950E7E">
        <w:rPr>
          <w:rFonts w:asciiTheme="minorHAnsi" w:hAnsiTheme="minorHAnsi" w:cstheme="minorHAnsi"/>
          <w:color w:val="222222"/>
          <w:sz w:val="24"/>
          <w:szCs w:val="24"/>
        </w:rPr>
        <w:t>kişisel koruyucu ekipmanların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972880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akılcı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ve uygun kullanımının önemini vurgulamaktadır. </w:t>
      </w:r>
      <w:r w:rsidR="00972880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Uygun kullanım özellikle ekipman giyip-çıkarma prosedürlerinde ve el hijyeni uygulamalarında sağlık çalışanlarının doğru ve titiz davranışını gerektirmektedir.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DSÖ ayrıca, personel eğitiminin yanı sıra gerekli </w:t>
      </w:r>
      <w:r w:rsidR="00D57974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kişisel koruyucu ekipmanların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ve </w:t>
      </w:r>
      <w:r w:rsidR="00D57974" w:rsidRPr="00950E7E">
        <w:rPr>
          <w:rFonts w:asciiTheme="minorHAnsi" w:hAnsiTheme="minorHAnsi" w:cstheme="minorHAnsi"/>
          <w:color w:val="222222"/>
          <w:sz w:val="24"/>
          <w:szCs w:val="24"/>
        </w:rPr>
        <w:t>ortam şartlarının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yeterli tedarik</w:t>
      </w:r>
      <w:r w:rsidR="00D57974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ve teminini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tavsiye eder.</w:t>
      </w:r>
      <w:r w:rsidR="00C578F5" w:rsidRPr="00C578F5">
        <w:rPr>
          <w:rFonts w:asciiTheme="minorHAnsi" w:hAnsiTheme="minorHAnsi" w:cstheme="minorHAnsi"/>
          <w:color w:val="222222"/>
          <w:sz w:val="24"/>
          <w:szCs w:val="24"/>
          <w:vertAlign w:val="superscript"/>
        </w:rPr>
        <w:t>19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Son olarak, DSÖ sık sık el hijyeni, </w:t>
      </w:r>
      <w:r w:rsidR="00950E7E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açık ağızla hapşırıp öksürmeme,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çevre temizliği</w:t>
      </w:r>
      <w:r w:rsidR="00950E7E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ve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dezenfeksiyonunun öneminin yanı sıra fiziksel mesafeleri korumanın ve ateş veya solunum semptomları olan kişilerle yakın, korumasız temastan kaçınmanın </w:t>
      </w:r>
      <w:r w:rsidR="00950E7E"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son derecece 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>önem</w:t>
      </w:r>
      <w:r w:rsidR="00950E7E" w:rsidRPr="00950E7E">
        <w:rPr>
          <w:rFonts w:asciiTheme="minorHAnsi" w:hAnsiTheme="minorHAnsi" w:cstheme="minorHAnsi"/>
          <w:color w:val="222222"/>
          <w:sz w:val="24"/>
          <w:szCs w:val="24"/>
        </w:rPr>
        <w:t>li olduğunu</w:t>
      </w:r>
      <w:r w:rsidRPr="00950E7E">
        <w:rPr>
          <w:rFonts w:asciiTheme="minorHAnsi" w:hAnsiTheme="minorHAnsi" w:cstheme="minorHAnsi"/>
          <w:color w:val="222222"/>
          <w:sz w:val="24"/>
          <w:szCs w:val="24"/>
        </w:rPr>
        <w:t xml:space="preserve"> vurgulama</w:t>
      </w:r>
      <w:r w:rsidR="00950E7E" w:rsidRPr="00950E7E">
        <w:rPr>
          <w:rFonts w:asciiTheme="minorHAnsi" w:hAnsiTheme="minorHAnsi" w:cstheme="minorHAnsi"/>
          <w:color w:val="222222"/>
          <w:sz w:val="24"/>
          <w:szCs w:val="24"/>
        </w:rPr>
        <w:t>ktadır.</w:t>
      </w:r>
    </w:p>
    <w:p w14:paraId="7EEE12CD" w14:textId="7269CB04" w:rsidR="00097C0B" w:rsidRPr="00097C0B" w:rsidRDefault="00097C0B" w:rsidP="00950E7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r w:rsidRPr="00950E7E">
        <w:rPr>
          <w:rFonts w:eastAsia="Times New Roman" w:cstheme="minorHAnsi"/>
          <w:color w:val="3C4245"/>
          <w:sz w:val="24"/>
          <w:szCs w:val="24"/>
          <w:lang w:eastAsia="tr-TR"/>
        </w:rPr>
        <w:t>Kaynakça</w:t>
      </w:r>
    </w:p>
    <w:p w14:paraId="0E543E2F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Liu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J,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Liao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X,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Qian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Community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transmission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severe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acute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respiratory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syndrome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Shenzhen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China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, 2020. 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Emerg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Infect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Dis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 2020 doi.org/10.3201/eid2606.200239</w:t>
      </w:r>
    </w:p>
    <w:p w14:paraId="50E2405A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J,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Yuan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S, Kok K et al.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familial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cluster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pneumonia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associated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with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novel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indicating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person-to-person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transmission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: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study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family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cluster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. 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Lancet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 </w:t>
      </w:r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2020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doi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: 10.1016/S0140-6736(20)30154-9</w:t>
      </w:r>
    </w:p>
    <w:p w14:paraId="12CBAE24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Li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Q,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Guan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X,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Wu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P,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Early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transmission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dynamics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in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Wuhan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China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novel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coronavirus-infected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pneumonia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. </w:t>
      </w:r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N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Engl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 J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Med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 2020; doi:10.1056/NEJMoa2001316.</w:t>
      </w:r>
    </w:p>
    <w:p w14:paraId="2AE44EB5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Huang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Wang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Y,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Li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X,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Clinical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features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patients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with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novel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in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Wuhan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China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Lancet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2020; 395: 497–506.</w:t>
      </w:r>
    </w:p>
    <w:p w14:paraId="13AC2F01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Burke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RM,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Midgley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CM,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Dratch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A,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Fenstersheib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M,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Haupt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T,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Holshue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proofErr w:type="gram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M,et</w:t>
      </w:r>
      <w:proofErr w:type="spellEnd"/>
      <w:proofErr w:type="gram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al. Active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monitoring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persons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exposed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to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patients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with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confirmed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COVID-19 — United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States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January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–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February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2020. </w:t>
      </w:r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MMWR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Morb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Mortal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Wkly</w:t>
      </w:r>
      <w:proofErr w:type="spellEnd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 xml:space="preserve"> </w:t>
      </w:r>
      <w:proofErr w:type="spellStart"/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Rep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. 2020 </w:t>
      </w:r>
      <w:proofErr w:type="spellStart"/>
      <w:proofErr w:type="gram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doi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 :</w:t>
      </w:r>
      <w:proofErr w:type="gram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10.15585/mmwr.mm6909e1external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icon</w:t>
      </w:r>
      <w:proofErr w:type="spellEnd"/>
    </w:p>
    <w:p w14:paraId="4F93E426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World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Health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Organization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. Report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WHO-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China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Joint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Mission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(COVID-19) 16-24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February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2020 [Internet].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Geneva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: World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Health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lastRenderedPageBreak/>
        <w:t>Organization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; 2020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Available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from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: </w:t>
      </w:r>
      <w:hyperlink r:id="rId5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https://www.who.int/docs/default- source/coronaviruse/who-china-joint-mission-on-covid-19-final-report.pdf</w:t>
        </w:r>
      </w:hyperlink>
    </w:p>
    <w:p w14:paraId="77A454C7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Ong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SW, Tan YK,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PY, Lee TH,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OT,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Wong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MS,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Air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surface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environmental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personal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protective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equipment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contamination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by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severe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acute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respiratory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syndrome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 (SARS-CoV-2)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from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symptomatic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patient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. </w:t>
      </w:r>
      <w:r w:rsidRPr="00950E7E">
        <w:rPr>
          <w:rFonts w:eastAsia="Times New Roman" w:cstheme="minorHAnsi"/>
          <w:i/>
          <w:iCs/>
          <w:color w:val="3C4245"/>
          <w:sz w:val="24"/>
          <w:szCs w:val="24"/>
          <w:lang w:eastAsia="tr-TR"/>
        </w:rPr>
        <w:t>JAMA.</w:t>
      </w:r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 2020 Mar 4 [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Epub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ahead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print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].</w:t>
      </w:r>
    </w:p>
    <w:p w14:paraId="7655415D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Zhang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Y,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Chen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Zhu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 et al. [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Isolation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2019-nCoV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from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stool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specimen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laboratory-confirmed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(COVID-19)].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China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CDC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Weekly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. 2020;2(8):123–4. (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Chinese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)</w:t>
      </w:r>
    </w:p>
    <w:p w14:paraId="3FB97C5B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proofErr w:type="gram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van</w:t>
      </w:r>
      <w:proofErr w:type="spellEnd"/>
      <w:proofErr w:type="gram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Doremalen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N, Morris D,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Bushmaker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T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Aerosol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Surface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Stability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SARS-CoV-2 as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compared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with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SARS-CoV-1. New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Engl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J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2020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doi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: 10.1056/NEJMc2004973</w:t>
      </w:r>
    </w:p>
    <w:p w14:paraId="49E4745E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Cheng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V,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Wong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S-C,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Chen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J,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Yip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Chuang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V,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Tsang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O,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Escalating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control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response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to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rapidly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evolving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epidemiology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(COVID-19)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due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to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SARS-CoV-2 in Hong Kong.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Control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Hosp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Epidemiol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. 2020 Mar 5 [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Epub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ahead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print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].</w:t>
      </w:r>
    </w:p>
    <w:p w14:paraId="5C5114A9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Ong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SW, Tan YK,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Chia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PY, Lee TH,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OT,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Wong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MS, et al.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Air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surface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environmental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,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personal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protective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equipment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contamination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by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severe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acute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respiratory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syndrome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 (SARS-CoV-2)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from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a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symptomatic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patient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. JAMA. 2020</w:t>
      </w:r>
    </w:p>
    <w:p w14:paraId="2D92816B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WHO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Prevention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Control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Guidance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COVID-19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available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at https://www.who.int/emergencies/diseases/novel-coronavirus-2019/technical-guidance/infection-prevention-and-control</w:t>
      </w:r>
    </w:p>
    <w:p w14:paraId="687BC088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Surviving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Sepsis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Campaign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: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Guidelines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Management of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Critically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Ill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Adults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with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(COVID-19).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Intensive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Care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Medicine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DOI: 10.1007/s00134-020-06022-5 </w:t>
      </w:r>
      <w:hyperlink r:id="rId6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https://www.sccm.org/SurvivingSepsisCampaign/Guidelines/COVID-19</w:t>
        </w:r>
      </w:hyperlink>
    </w:p>
    <w:p w14:paraId="6E96195D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Interim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guidelines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the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clinical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management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of COVID-19 in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adults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Australasian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Society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Limited (ASID)  </w:t>
      </w:r>
      <w:hyperlink r:id="rId7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https://www.asid.net.au/documents/item/1873</w:t>
        </w:r>
      </w:hyperlink>
    </w:p>
    <w:p w14:paraId="0F57FD93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(COVID-19):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health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professionals. </w:t>
      </w:r>
      <w:hyperlink r:id="rId8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https://www.canada.ca/en/public-health/services/diseases/2019-novel-coronavirus-infection/health-professionals.html</w:t>
        </w:r>
      </w:hyperlink>
    </w:p>
    <w:p w14:paraId="3DA79C63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Guidance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on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prevention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control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COVID-19 </w:t>
      </w:r>
      <w:hyperlink r:id="rId9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https://www.gov.uk/government/publications/wuhan-novel-coronavirus-infection-prevention-and-control</w:t>
        </w:r>
      </w:hyperlink>
    </w:p>
    <w:p w14:paraId="62274D57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Interim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Prevention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Control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Recommendations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Patients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with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Suspected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Confirmed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Disease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2019 (COVID-19) in Healthcare Settings. </w:t>
      </w:r>
      <w:hyperlink r:id="rId10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https://www.cdc.gov/coronavirus/2019-ncov/infection-control/control-recommendations.html</w:t>
        </w:r>
      </w:hyperlink>
    </w:p>
    <w:p w14:paraId="18CEF878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prevention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control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COVID-19 in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healthcare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settings </w:t>
      </w:r>
      <w:hyperlink r:id="rId11" w:history="1">
        <w:r w:rsidRPr="00950E7E">
          <w:rPr>
            <w:rFonts w:eastAsia="Times New Roman" w:cstheme="minorHAnsi"/>
            <w:color w:val="008DC9"/>
            <w:sz w:val="24"/>
            <w:szCs w:val="24"/>
            <w:u w:val="single"/>
            <w:lang w:eastAsia="tr-TR"/>
          </w:rPr>
          <w:t>https://www.ecdc.europa.eu/en/publications-data/infection-prevention-and-control-covid-19-healthcare-settings</w:t>
        </w:r>
      </w:hyperlink>
    </w:p>
    <w:p w14:paraId="571EE2B8" w14:textId="77777777" w:rsidR="00097C0B" w:rsidRPr="00097C0B" w:rsidRDefault="00097C0B" w:rsidP="00950E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C4245"/>
          <w:sz w:val="24"/>
          <w:szCs w:val="24"/>
          <w:lang w:eastAsia="tr-TR"/>
        </w:rPr>
      </w:pP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Infection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Prevention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and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Control (IPC)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for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Novel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</w:t>
      </w:r>
      <w:proofErr w:type="spellStart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>Coronavirus</w:t>
      </w:r>
      <w:proofErr w:type="spellEnd"/>
      <w:r w:rsidRPr="00097C0B">
        <w:rPr>
          <w:rFonts w:eastAsia="Times New Roman" w:cstheme="minorHAnsi"/>
          <w:color w:val="3C4245"/>
          <w:sz w:val="24"/>
          <w:szCs w:val="24"/>
          <w:lang w:eastAsia="tr-TR"/>
        </w:rPr>
        <w:t xml:space="preserve"> (COVID-19) Course. https://openwho.org/courses/COVID-19-IPC-EN</w:t>
      </w:r>
    </w:p>
    <w:p w14:paraId="14D12924" w14:textId="77777777" w:rsidR="005825B5" w:rsidRPr="00950E7E" w:rsidRDefault="005825B5" w:rsidP="00950E7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5825B5" w:rsidRPr="009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B0E"/>
    <w:multiLevelType w:val="multilevel"/>
    <w:tmpl w:val="D48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59"/>
    <w:rsid w:val="00051E46"/>
    <w:rsid w:val="00097C0B"/>
    <w:rsid w:val="000C6B8B"/>
    <w:rsid w:val="000E030D"/>
    <w:rsid w:val="001346CE"/>
    <w:rsid w:val="00237E59"/>
    <w:rsid w:val="003821FA"/>
    <w:rsid w:val="003D4B65"/>
    <w:rsid w:val="00402F46"/>
    <w:rsid w:val="00435FCA"/>
    <w:rsid w:val="0048035F"/>
    <w:rsid w:val="005825B5"/>
    <w:rsid w:val="00673351"/>
    <w:rsid w:val="00680550"/>
    <w:rsid w:val="006E2DEF"/>
    <w:rsid w:val="007637E2"/>
    <w:rsid w:val="00774F5B"/>
    <w:rsid w:val="00825166"/>
    <w:rsid w:val="00950E7E"/>
    <w:rsid w:val="00972880"/>
    <w:rsid w:val="00B561AE"/>
    <w:rsid w:val="00B737AA"/>
    <w:rsid w:val="00BB6482"/>
    <w:rsid w:val="00BC714B"/>
    <w:rsid w:val="00C578F5"/>
    <w:rsid w:val="00D4776E"/>
    <w:rsid w:val="00D57974"/>
    <w:rsid w:val="00EB54E7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319C"/>
  <w15:chartTrackingRefBased/>
  <w15:docId w15:val="{E85143E6-BD83-4E44-82F4-7C71AFD6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4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4B6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97C0B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09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diseases/2019-novel-coronavirus-infection/health-professional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id.net.au/documents/item/18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cm.org/SurvivingSepsisCampaign/Guidelines/COVID-19" TargetMode="External"/><Relationship Id="rId11" Type="http://schemas.openxmlformats.org/officeDocument/2006/relationships/hyperlink" Target="https://www.ecdc.europa.eu/en/publications-data/infection-prevention-and-control-covid-19-healthcare-settings" TargetMode="External"/><Relationship Id="rId5" Type="http://schemas.openxmlformats.org/officeDocument/2006/relationships/hyperlink" Target="https://www.who.int/docs/default-%20source/coronaviruse/who-china-joint-mission-on-covid-19-final-report.pdf" TargetMode="External"/><Relationship Id="rId10" Type="http://schemas.openxmlformats.org/officeDocument/2006/relationships/hyperlink" Target="https://www.cdc.gov/coronavirus/2019-ncov/infection-control/control-recommen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uhan-novel-coronavirus-infection-prevention-and-contro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7</cp:revision>
  <dcterms:created xsi:type="dcterms:W3CDTF">2020-03-28T19:39:00Z</dcterms:created>
  <dcterms:modified xsi:type="dcterms:W3CDTF">2020-03-29T14:29:00Z</dcterms:modified>
</cp:coreProperties>
</file>