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 w:rsidP="00C62060">
            <w:pPr>
              <w:pStyle w:val="GvdeMetni"/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62132A47" w:rsidR="00952144" w:rsidRDefault="00C410E7" w:rsidP="008F70D3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8F70D3">
              <w:rPr>
                <w:b/>
                <w:sz w:val="24"/>
              </w:rPr>
              <w:t>Kadın Hastalıkları ve Doğum</w:t>
            </w:r>
            <w:r w:rsidR="00ED015B">
              <w:rPr>
                <w:b/>
                <w:sz w:val="24"/>
              </w:rPr>
              <w:t xml:space="preserve">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761C3C">
        <w:trPr>
          <w:trHeight w:val="1770"/>
          <w:jc w:val="center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761C3C">
        <w:trPr>
          <w:trHeight w:val="1819"/>
          <w:jc w:val="center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761C3C">
        <w:trPr>
          <w:trHeight w:val="2783"/>
          <w:jc w:val="center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9D08D7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A203E4F" w14:textId="4B12D676" w:rsidR="00952144" w:rsidRDefault="00C410E7" w:rsidP="001F66DA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 xml:space="preserve">Kadın Hastalıkları ve Doğum </w:t>
            </w:r>
            <w:r w:rsidR="00767B17">
              <w:rPr>
                <w:b/>
                <w:sz w:val="24"/>
              </w:rPr>
              <w:t>Anabilim Dalı</w:t>
            </w:r>
          </w:p>
        </w:tc>
      </w:tr>
      <w:tr w:rsidR="00952144" w14:paraId="0205A030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761C3C">
        <w:trPr>
          <w:trHeight w:val="1798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761C3C">
        <w:trPr>
          <w:trHeight w:val="1310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761C3C">
        <w:trPr>
          <w:trHeight w:val="2025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761C3C">
        <w:trPr>
          <w:trHeight w:val="1518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9D08D7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0C121463" w14:textId="6C50C699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0FC30A26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761C3C">
        <w:trPr>
          <w:trHeight w:val="1771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761C3C">
        <w:trPr>
          <w:trHeight w:val="2023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761C3C">
        <w:trPr>
          <w:trHeight w:val="1381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9D08D7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8C06791" w14:textId="30FAB9B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2A5AD2DF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761C3C">
        <w:trPr>
          <w:trHeight w:val="2050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761C3C">
        <w:trPr>
          <w:trHeight w:val="1518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9D08D7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 w:rsidTr="00761C3C">
        <w:trPr>
          <w:trHeight w:val="282"/>
          <w:jc w:val="center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 w:rsidTr="00761C3C">
        <w:trPr>
          <w:trHeight w:val="272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 w:rsidTr="00761C3C">
        <w:trPr>
          <w:trHeight w:val="330"/>
          <w:jc w:val="center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 w:rsidTr="00761C3C">
        <w:trPr>
          <w:trHeight w:val="346"/>
          <w:jc w:val="center"/>
        </w:trPr>
        <w:tc>
          <w:tcPr>
            <w:tcW w:w="14885" w:type="dxa"/>
            <w:gridSpan w:val="8"/>
            <w:shd w:val="clear" w:color="auto" w:fill="9CC2E4"/>
          </w:tcPr>
          <w:p w14:paraId="4C66995C" w14:textId="11F13BCC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73FBA2BD" w14:textId="77777777" w:rsidTr="00761C3C">
        <w:trPr>
          <w:trHeight w:val="789"/>
          <w:jc w:val="center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761C3C">
        <w:trPr>
          <w:trHeight w:val="2304"/>
          <w:jc w:val="center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761C3C">
        <w:trPr>
          <w:trHeight w:val="1771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761C3C">
        <w:trPr>
          <w:trHeight w:val="1265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761C3C">
        <w:trPr>
          <w:trHeight w:val="1012"/>
          <w:jc w:val="center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9D08D7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jc w:val="center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 w:rsidTr="00761C3C">
        <w:trPr>
          <w:trHeight w:val="282"/>
          <w:jc w:val="center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 w:rsidTr="00761C3C">
        <w:trPr>
          <w:trHeight w:val="272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 w:rsidTr="00761C3C">
        <w:trPr>
          <w:trHeight w:val="272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 w:rsidTr="00761C3C">
        <w:trPr>
          <w:trHeight w:val="330"/>
          <w:jc w:val="center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 w:rsidTr="00761C3C">
        <w:trPr>
          <w:trHeight w:val="346"/>
          <w:jc w:val="center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 w:rsidTr="00761C3C">
        <w:trPr>
          <w:trHeight w:val="346"/>
          <w:jc w:val="center"/>
        </w:trPr>
        <w:tc>
          <w:tcPr>
            <w:tcW w:w="14898" w:type="dxa"/>
            <w:gridSpan w:val="8"/>
            <w:shd w:val="clear" w:color="auto" w:fill="9CC2E4"/>
          </w:tcPr>
          <w:p w14:paraId="718D4145" w14:textId="1B3D8296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r w:rsidR="001F66DA">
              <w:rPr>
                <w:b/>
                <w:sz w:val="24"/>
              </w:rPr>
              <w:t>Kadın Hastalıkları ve Doğum Anabilim Dalı</w:t>
            </w:r>
          </w:p>
        </w:tc>
      </w:tr>
      <w:tr w:rsidR="00952144" w14:paraId="0F756FAE" w14:textId="77777777" w:rsidTr="00761C3C">
        <w:trPr>
          <w:trHeight w:val="789"/>
          <w:jc w:val="center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761C3C">
        <w:trPr>
          <w:trHeight w:val="2052"/>
          <w:jc w:val="center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jc w:val="center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 w:rsidTr="00F56185">
        <w:trPr>
          <w:trHeight w:val="1520"/>
          <w:jc w:val="center"/>
        </w:trPr>
        <w:tc>
          <w:tcPr>
            <w:tcW w:w="6810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19C54B00" w:rsidR="00952144" w:rsidRDefault="00F6342D" w:rsidP="00F6342D">
            <w:pPr>
              <w:pStyle w:val="TableParagraph"/>
              <w:spacing w:before="1"/>
              <w:ind w:right="2337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C410E7">
              <w:rPr>
                <w:b/>
              </w:rPr>
              <w:t>HAZIRLAYAN</w:t>
            </w:r>
          </w:p>
          <w:p w14:paraId="5FCC9B9B" w14:textId="334C03B7" w:rsidR="008F70D3" w:rsidRDefault="00F6342D" w:rsidP="00A12867">
            <w:pPr>
              <w:pStyle w:val="TableParagraph"/>
              <w:spacing w:before="1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8F70D3">
              <w:rPr>
                <w:b/>
              </w:rPr>
              <w:t xml:space="preserve">   Anabilim Dalı Başkanı</w:t>
            </w: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774D0A94" w:rsidR="00952144" w:rsidRDefault="00C410E7" w:rsidP="00F5618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56ACC30C" w14:textId="715CB116" w:rsidR="00952144" w:rsidRPr="00F6342D" w:rsidRDefault="00A12867" w:rsidP="00F5618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8F70D3">
              <w:rPr>
                <w:b/>
                <w:sz w:val="24"/>
              </w:rPr>
              <w:t>Dekan</w:t>
            </w:r>
            <w:bookmarkStart w:id="0" w:name="_GoBack"/>
            <w:bookmarkEnd w:id="0"/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9D08D7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B953" w14:textId="77777777" w:rsidR="009D08D7" w:rsidRDefault="009D08D7">
      <w:r>
        <w:separator/>
      </w:r>
    </w:p>
  </w:endnote>
  <w:endnote w:type="continuationSeparator" w:id="0">
    <w:p w14:paraId="063F819D" w14:textId="77777777" w:rsidR="009D08D7" w:rsidRDefault="009D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5651A7EC" w:rsidR="00C62060" w:rsidRDefault="00C6206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C62060" w:rsidRDefault="00C62060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C62060" w:rsidRDefault="00C62060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C62060" w:rsidRDefault="009D08D7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C62060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C62060" w:rsidRDefault="009D08D7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C62060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6BD9" w14:textId="77777777" w:rsidR="009D08D7" w:rsidRDefault="009D08D7">
      <w:r>
        <w:separator/>
      </w:r>
    </w:p>
  </w:footnote>
  <w:footnote w:type="continuationSeparator" w:id="0">
    <w:p w14:paraId="71C7CFA3" w14:textId="77777777" w:rsidR="009D08D7" w:rsidRDefault="009D0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C62060" w:rsidRDefault="00C62060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074D30"/>
    <w:rsid w:val="00172DB1"/>
    <w:rsid w:val="001F66DA"/>
    <w:rsid w:val="00271F4F"/>
    <w:rsid w:val="00371FF8"/>
    <w:rsid w:val="004751CE"/>
    <w:rsid w:val="004D2EC2"/>
    <w:rsid w:val="00665127"/>
    <w:rsid w:val="006A1D4B"/>
    <w:rsid w:val="00761C3C"/>
    <w:rsid w:val="00767B17"/>
    <w:rsid w:val="008D7671"/>
    <w:rsid w:val="008F70D3"/>
    <w:rsid w:val="00901E72"/>
    <w:rsid w:val="00924493"/>
    <w:rsid w:val="00952144"/>
    <w:rsid w:val="009D08D7"/>
    <w:rsid w:val="009E2096"/>
    <w:rsid w:val="00A12867"/>
    <w:rsid w:val="00A76422"/>
    <w:rsid w:val="00BB583E"/>
    <w:rsid w:val="00BC26F9"/>
    <w:rsid w:val="00BD56CB"/>
    <w:rsid w:val="00BE0991"/>
    <w:rsid w:val="00C410E7"/>
    <w:rsid w:val="00C62060"/>
    <w:rsid w:val="00C663FD"/>
    <w:rsid w:val="00D74703"/>
    <w:rsid w:val="00E92497"/>
    <w:rsid w:val="00ED015B"/>
    <w:rsid w:val="00F56185"/>
    <w:rsid w:val="00F570A1"/>
    <w:rsid w:val="00F6342D"/>
    <w:rsid w:val="00FB5EA5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A57E62E9-1172-49B1-80C9-7AD1C93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66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6DA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EC79A-5192-4E84-85B0-2F557C81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6</cp:revision>
  <cp:lastPrinted>2021-10-12T06:46:00Z</cp:lastPrinted>
  <dcterms:created xsi:type="dcterms:W3CDTF">2022-02-25T06:36:00Z</dcterms:created>
  <dcterms:modified xsi:type="dcterms:W3CDTF">2024-01-24T11:50:00Z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